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media/image4.jpeg" ContentType="image/jpeg"/>
  <Override PartName="/word/media/image5.jpeg" ContentType="image/jpe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pPr>
      <w:r>
        <w:rPr/>
        <w:t xml:space="preserve">Name:____________________________________           Section:_______________ </w:t>
        <w:tab/>
        <w:tab/>
        <w:t>Date:_______________________</w:t>
      </w:r>
    </w:p>
    <w:p>
      <w:pPr>
        <w:pStyle w:val="Normal1"/>
        <w:rPr/>
      </w:pPr>
      <w:r>
        <w:rPr/>
      </w:r>
    </w:p>
    <w:p>
      <w:pPr>
        <w:pStyle w:val="Normal1"/>
        <w:rPr/>
      </w:pPr>
      <w:r>
        <w:rPr/>
        <w:t>Lab 4: Parasite Aggregation + Host Immune Response</w:t>
      </w:r>
    </w:p>
    <w:p>
      <w:pPr>
        <w:pStyle w:val="Normal1"/>
        <w:rPr>
          <w:sz w:val="24"/>
          <w:szCs w:val="24"/>
        </w:rPr>
      </w:pPr>
      <w:r>
        <w:rPr>
          <w:sz w:val="24"/>
          <w:szCs w:val="24"/>
        </w:rPr>
      </w:r>
    </w:p>
    <w:p>
      <w:pPr>
        <w:pStyle w:val="Normal1"/>
        <w:rPr>
          <w:sz w:val="24"/>
          <w:szCs w:val="24"/>
        </w:rPr>
      </w:pPr>
      <w:r>
        <w:rPr>
          <w:sz w:val="24"/>
          <w:szCs w:val="24"/>
        </w:rPr>
        <w:t>The melanization response is one of the major innate immunity pathways insects have for responding to parasites. Today, we’ll be quantifying the pathogen burdens of horned passalus beetles (</w:t>
      </w:r>
      <w:r>
        <w:rPr>
          <w:i/>
          <w:sz w:val="24"/>
          <w:szCs w:val="24"/>
        </w:rPr>
        <w:t>Odontotaenius disjunctus</w:t>
      </w:r>
      <w:r>
        <w:rPr>
          <w:sz w:val="24"/>
          <w:szCs w:val="24"/>
        </w:rPr>
        <w:t xml:space="preserve">), and seeing if those burdens relate to the measured strength of their melanization response. </w:t>
      </w:r>
    </w:p>
    <w:p>
      <w:pPr>
        <w:pStyle w:val="Normal1"/>
        <w:rPr>
          <w:sz w:val="24"/>
          <w:szCs w:val="24"/>
        </w:rPr>
      </w:pPr>
      <w:r>
        <w:rPr>
          <w:sz w:val="24"/>
          <w:szCs w:val="24"/>
        </w:rPr>
      </w:r>
    </w:p>
    <w:p>
      <w:pPr>
        <w:pStyle w:val="Normal1"/>
        <w:rPr>
          <w:sz w:val="24"/>
          <w:szCs w:val="24"/>
        </w:rPr>
      </w:pPr>
      <w:r>
        <w:rPr>
          <w:sz w:val="24"/>
          <w:szCs w:val="24"/>
        </w:rPr>
        <w:t xml:space="preserve">Over the course of this lab, you’ll be filling out your data alongside the rest of the class on this shared google sheet: </w:t>
      </w:r>
      <w:hyperlink r:id="rId2">
        <w:r>
          <w:rPr>
            <w:color w:val="0000EE"/>
            <w:u w:val="single"/>
            <w:shd w:fill="auto" w:val="clear"/>
          </w:rPr>
          <w:t>Lab4_ClassData531L_Spring24</w:t>
        </w:r>
      </w:hyperlink>
      <w:r>
        <w:rPr>
          <w:sz w:val="24"/>
          <w:szCs w:val="24"/>
        </w:rPr>
        <w:t xml:space="preserve">. We have ~22 beetles total to process. That leaves most students processing 2 beetles, but if you’re not very excited about the dissection or other parts you can only do one beetle. For each beetle, you’ll follow the entire processing protocol described below. </w:t>
      </w:r>
    </w:p>
    <w:p>
      <w:pPr>
        <w:pStyle w:val="Normal1"/>
        <w:rPr>
          <w:sz w:val="24"/>
          <w:szCs w:val="24"/>
        </w:rPr>
      </w:pPr>
      <w:r>
        <w:rPr>
          <w:sz w:val="24"/>
          <w:szCs w:val="24"/>
        </w:rPr>
      </w:r>
    </w:p>
    <w:p>
      <w:pPr>
        <w:pStyle w:val="Normal1"/>
        <w:rPr>
          <w:b/>
          <w:b/>
          <w:sz w:val="24"/>
          <w:szCs w:val="24"/>
          <w:u w:val="single"/>
        </w:rPr>
      </w:pPr>
      <w:r>
        <w:rPr>
          <w:b/>
          <w:sz w:val="24"/>
          <w:szCs w:val="24"/>
          <w:u w:val="single"/>
        </w:rPr>
        <w:t>Part 1: Morphometrics + Mite Burden</w:t>
      </w:r>
    </w:p>
    <w:p>
      <w:pPr>
        <w:pStyle w:val="Normal1"/>
        <w:numPr>
          <w:ilvl w:val="0"/>
          <w:numId w:val="1"/>
        </w:numPr>
        <w:ind w:left="720" w:hanging="360"/>
        <w:rPr>
          <w:sz w:val="24"/>
          <w:szCs w:val="24"/>
          <w:u w:val="none"/>
        </w:rPr>
      </w:pPr>
      <w:r>
        <w:rPr>
          <w:sz w:val="24"/>
          <w:szCs w:val="24"/>
        </w:rPr>
        <w:t xml:space="preserve">After taking your beetle, start by taking its morphometrics. Use a scale to weigh the beetle, and record it on the datasheet. Additionally, use calipers to determine its length pronotum and elytra at their longest points. </w:t>
      </w:r>
    </w:p>
    <w:p>
      <w:pPr>
        <w:pStyle w:val="Normal1"/>
        <w:ind w:left="720" w:hanging="0"/>
        <w:rPr>
          <w:sz w:val="24"/>
          <w:szCs w:val="24"/>
        </w:rPr>
      </w:pPr>
      <w:r>
        <w:rPr>
          <w:sz w:val="24"/>
          <w:szCs w:val="24"/>
        </w:rPr>
      </w:r>
    </w:p>
    <w:p>
      <w:pPr>
        <w:pStyle w:val="Normal1"/>
        <w:ind w:left="0" w:hanging="0"/>
        <w:rPr>
          <w:sz w:val="24"/>
          <w:szCs w:val="24"/>
        </w:rPr>
      </w:pPr>
      <w:r>
        <w:rPr>
          <w:b/>
          <w:sz w:val="24"/>
          <w:szCs w:val="24"/>
        </w:rPr>
        <w:t>Q1. Write the two length measurements and mass of your beetle(s) below:</w:t>
      </w:r>
      <w:r>
        <w:rPr>
          <w:sz w:val="24"/>
          <w:szCs w:val="24"/>
        </w:rPr>
        <w:br/>
        <w:br/>
      </w:r>
    </w:p>
    <w:p>
      <w:pPr>
        <w:pStyle w:val="Normal1"/>
        <w:numPr>
          <w:ilvl w:val="0"/>
          <w:numId w:val="1"/>
        </w:numPr>
        <w:ind w:left="720" w:hanging="360"/>
        <w:rPr>
          <w:sz w:val="24"/>
          <w:szCs w:val="24"/>
          <w:u w:val="none"/>
        </w:rPr>
      </w:pPr>
      <w:r>
        <w:rPr>
          <w:sz w:val="24"/>
          <w:szCs w:val="24"/>
        </w:rPr>
        <w:t xml:space="preserve">After sizing and weighing your beetle you’ll want to calculate its mite burden. This can partially be done with the naked eye, using insect pins and fine forceps to remove mites. You’re looking for small, round bumps/spots, often in the joints and crevices of the underside of the pronotum, forelegs, and head. After picking off all the mites you can see with your naked eye, give your beetle a look under the dissecting scope to make sure there are none you missed. You can also use this time to take a better look at the mites themselves under the scope. </w:t>
      </w:r>
    </w:p>
    <w:p>
      <w:pPr>
        <w:pStyle w:val="Normal1"/>
        <w:rPr>
          <w:sz w:val="24"/>
          <w:szCs w:val="24"/>
        </w:rPr>
      </w:pPr>
      <w:r>
        <w:rPr>
          <w:sz w:val="24"/>
          <w:szCs w:val="24"/>
        </w:rPr>
      </w:r>
    </w:p>
    <w:p>
      <w:pPr>
        <w:pStyle w:val="Normal1"/>
        <w:rPr>
          <w:b/>
          <w:b/>
          <w:sz w:val="24"/>
          <w:szCs w:val="24"/>
        </w:rPr>
      </w:pPr>
      <w:r>
        <w:rPr>
          <w:b/>
          <w:sz w:val="24"/>
          <w:szCs w:val="24"/>
        </w:rPr>
        <w:t>Q2. Write the number of mites your beetle(s) has below:</w:t>
      </w:r>
    </w:p>
    <w:p>
      <w:pPr>
        <w:pStyle w:val="Normal1"/>
        <w:ind w:left="0" w:hanging="0"/>
        <w:rPr>
          <w:sz w:val="24"/>
          <w:szCs w:val="24"/>
        </w:rPr>
      </w:pPr>
      <w:r>
        <w:rPr>
          <w:sz w:val="24"/>
          <w:szCs w:val="24"/>
        </w:rPr>
      </w:r>
    </w:p>
    <w:p>
      <w:pPr>
        <w:pStyle w:val="Normal1"/>
        <w:rPr>
          <w:sz w:val="24"/>
          <w:szCs w:val="24"/>
        </w:rPr>
      </w:pPr>
      <w:r>
        <w:rPr>
          <w:sz w:val="24"/>
          <w:szCs w:val="24"/>
        </w:rPr>
      </w:r>
    </w:p>
    <w:p>
      <w:pPr>
        <w:pStyle w:val="Normal1"/>
        <w:rPr>
          <w:sz w:val="24"/>
          <w:szCs w:val="24"/>
        </w:rPr>
      </w:pPr>
      <w:r>
        <w:rPr>
          <w:sz w:val="24"/>
          <w:szCs w:val="24"/>
        </w:rPr>
      </w:r>
    </w:p>
    <w:p>
      <w:pPr>
        <w:pStyle w:val="Normal1"/>
        <w:rPr>
          <w:sz w:val="24"/>
          <w:szCs w:val="24"/>
        </w:rPr>
      </w:pPr>
      <w:r>
        <w:rPr/>
        <w:drawing>
          <wp:inline distT="0" distB="0" distL="0" distR="0">
            <wp:extent cx="2548255" cy="2538095"/>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3"/>
                    <a:srcRect l="0" t="1742" r="0" b="0"/>
                    <a:stretch>
                      <a:fillRect/>
                    </a:stretch>
                  </pic:blipFill>
                  <pic:spPr bwMode="auto">
                    <a:xfrm>
                      <a:off x="0" y="0"/>
                      <a:ext cx="2548255" cy="2538095"/>
                    </a:xfrm>
                    <a:prstGeom prst="rect">
                      <a:avLst/>
                    </a:prstGeom>
                  </pic:spPr>
                </pic:pic>
              </a:graphicData>
            </a:graphic>
          </wp:inline>
        </w:drawing>
      </w:r>
      <w:r>
        <w:rPr/>
        <w:drawing>
          <wp:inline distT="0" distB="0" distL="0" distR="0">
            <wp:extent cx="3308350" cy="2480945"/>
            <wp:effectExtent l="0" t="0" r="0" b="0"/>
            <wp:docPr id="2"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g" descr=""/>
                    <pic:cNvPicPr>
                      <a:picLocks noChangeAspect="1" noChangeArrowheads="1"/>
                    </pic:cNvPicPr>
                  </pic:nvPicPr>
                  <pic:blipFill>
                    <a:blip r:embed="rId4"/>
                    <a:stretch>
                      <a:fillRect/>
                    </a:stretch>
                  </pic:blipFill>
                  <pic:spPr bwMode="auto">
                    <a:xfrm>
                      <a:off x="0" y="0"/>
                      <a:ext cx="3308350" cy="2480945"/>
                    </a:xfrm>
                    <a:prstGeom prst="rect">
                      <a:avLst/>
                    </a:prstGeom>
                  </pic:spPr>
                </pic:pic>
              </a:graphicData>
            </a:graphic>
          </wp:inline>
        </w:drawing>
      </w:r>
      <w:r>
        <w:rPr/>
        <w:drawing>
          <wp:inline distT="0" distB="0" distL="0" distR="0">
            <wp:extent cx="5943600" cy="2794000"/>
            <wp:effectExtent l="0" t="0" r="0" b="0"/>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5"/>
                    <a:stretch>
                      <a:fillRect/>
                    </a:stretch>
                  </pic:blipFill>
                  <pic:spPr bwMode="auto">
                    <a:xfrm>
                      <a:off x="0" y="0"/>
                      <a:ext cx="5943600" cy="2794000"/>
                    </a:xfrm>
                    <a:prstGeom prst="rect">
                      <a:avLst/>
                    </a:prstGeom>
                  </pic:spPr>
                </pic:pic>
              </a:graphicData>
            </a:graphic>
          </wp:inline>
        </w:drawing>
      </w:r>
    </w:p>
    <w:p>
      <w:pPr>
        <w:pStyle w:val="Normal1"/>
        <w:rPr>
          <w:sz w:val="24"/>
          <w:szCs w:val="24"/>
        </w:rPr>
      </w:pPr>
      <w:r>
        <w:rPr>
          <w:sz w:val="24"/>
          <w:szCs w:val="24"/>
        </w:rPr>
      </w:r>
    </w:p>
    <w:p>
      <w:pPr>
        <w:pStyle w:val="Normal1"/>
        <w:ind w:left="0" w:hanging="0"/>
        <w:rPr>
          <w:sz w:val="24"/>
          <w:szCs w:val="24"/>
        </w:rPr>
      </w:pPr>
      <w:r>
        <w:rPr>
          <w:sz w:val="24"/>
          <w:szCs w:val="24"/>
        </w:rPr>
      </w:r>
    </w:p>
    <w:p>
      <w:pPr>
        <w:pStyle w:val="Normal1"/>
        <w:rPr>
          <w:sz w:val="24"/>
          <w:szCs w:val="24"/>
        </w:rPr>
      </w:pPr>
      <w:r>
        <w:rPr>
          <w:b/>
          <w:sz w:val="24"/>
          <w:szCs w:val="24"/>
          <w:u w:val="single"/>
        </w:rPr>
        <w:t>Part 2: Melanization Assay</w:t>
      </w:r>
    </w:p>
    <w:p>
      <w:pPr>
        <w:pStyle w:val="Normal1"/>
        <w:numPr>
          <w:ilvl w:val="0"/>
          <w:numId w:val="1"/>
        </w:numPr>
        <w:ind w:left="720" w:hanging="360"/>
        <w:rPr>
          <w:sz w:val="24"/>
          <w:szCs w:val="24"/>
        </w:rPr>
      </w:pPr>
      <w:r>
        <w:rPr>
          <w:sz w:val="24"/>
          <w:szCs w:val="24"/>
        </w:rPr>
        <w:t xml:space="preserve">Once you’ve calculated your beetle’s mite burden, you’re going to go ahead and perform a melanization assay. To prepare for this assay,  </w:t>
      </w:r>
      <w:r>
        <w:rPr>
          <w:sz w:val="24"/>
          <w:szCs w:val="24"/>
          <w:shd w:fill="auto" w:val="clear"/>
        </w:rPr>
        <w:t xml:space="preserve">use a sharpie marker </w:t>
      </w:r>
      <w:r>
        <w:rPr>
          <w:sz w:val="24"/>
          <w:szCs w:val="24"/>
        </w:rPr>
        <w:t xml:space="preserve">to label a piece of filter paper near the edge with your beetle’s ID number. Then, place the filter paper flat inside of a petri dish, touching one of the edges.  </w:t>
      </w:r>
    </w:p>
    <w:p>
      <w:pPr>
        <w:pStyle w:val="Normal1"/>
        <w:numPr>
          <w:ilvl w:val="0"/>
          <w:numId w:val="1"/>
        </w:numPr>
        <w:ind w:left="720" w:hanging="360"/>
        <w:rPr>
          <w:sz w:val="24"/>
          <w:szCs w:val="24"/>
        </w:rPr>
      </w:pPr>
      <w:r>
        <w:rPr>
          <w:sz w:val="24"/>
          <w:szCs w:val="24"/>
        </w:rPr>
        <w:t xml:space="preserve">Thoroughly wet the labeled filter paper with </w:t>
      </w:r>
      <w:r>
        <w:rPr>
          <w:sz w:val="24"/>
          <w:szCs w:val="24"/>
        </w:rPr>
        <w:t>3</w:t>
      </w:r>
      <w:r>
        <w:rPr>
          <w:sz w:val="24"/>
          <w:szCs w:val="24"/>
          <w:shd w:fill="auto" w:val="clear"/>
        </w:rPr>
        <w:t xml:space="preserve">mL </w:t>
      </w:r>
      <w:r>
        <w:rPr>
          <w:sz w:val="24"/>
          <w:szCs w:val="24"/>
        </w:rPr>
        <w:t xml:space="preserve">of the assay solution (2mg/mL of L-DOPA in 10mM sodium phosphate buffer). Place the edge of the petri dish opposite the paper on a spacer to give it a slight tilt, causing excess solution to drop to the side of the petri dish. </w:t>
      </w:r>
    </w:p>
    <w:p>
      <w:pPr>
        <w:pStyle w:val="Normal1"/>
        <w:numPr>
          <w:ilvl w:val="0"/>
          <w:numId w:val="1"/>
        </w:numPr>
        <w:ind w:left="720" w:hanging="360"/>
        <w:rPr>
          <w:sz w:val="24"/>
          <w:szCs w:val="24"/>
          <w:u w:val="none"/>
        </w:rPr>
      </w:pPr>
      <w:r>
        <w:rPr/>
        <w:t xml:space="preserve">Once you have your assay setup prepared, </w:t>
      </w:r>
      <w:r>
        <w:rPr>
          <w:sz w:val="24"/>
          <w:szCs w:val="24"/>
        </w:rPr>
        <w:t xml:space="preserve">bring your beetle up to the instructor, and they will help you drill a hole in the pronotum using a dremel from which you can extract enough hemolymph to sample. Using a micropipette, extract 10 microlitres of hemolymph from the beetle and gently deposit it onto your filter prepared filter paper. Repeat this process 4 times for four replicate samples, taking care to ensure the droplets do not touch each other. </w:t>
      </w:r>
    </w:p>
    <w:p>
      <w:pPr>
        <w:pStyle w:val="Normal1"/>
        <w:ind w:left="720" w:hanging="0"/>
        <w:rPr>
          <w:sz w:val="24"/>
          <w:szCs w:val="24"/>
        </w:rPr>
      </w:pPr>
      <w:r>
        <w:drawing>
          <wp:anchor behindDoc="0" distT="0" distB="0" distL="0" distR="0" simplePos="0" locked="0" layoutInCell="0" allowOverlap="1" relativeHeight="4">
            <wp:simplePos x="0" y="0"/>
            <wp:positionH relativeFrom="page">
              <wp:posOffset>4886325</wp:posOffset>
            </wp:positionH>
            <wp:positionV relativeFrom="page">
              <wp:posOffset>289560</wp:posOffset>
            </wp:positionV>
            <wp:extent cx="2147570" cy="3277870"/>
            <wp:effectExtent l="0" t="0" r="0" b="0"/>
            <wp:wrapNone/>
            <wp:docPr id="4"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g" descr=""/>
                    <pic:cNvPicPr>
                      <a:picLocks noChangeAspect="1" noChangeArrowheads="1"/>
                    </pic:cNvPicPr>
                  </pic:nvPicPr>
                  <pic:blipFill>
                    <a:blip r:embed="rId6"/>
                    <a:stretch>
                      <a:fillRect/>
                    </a:stretch>
                  </pic:blipFill>
                  <pic:spPr bwMode="auto">
                    <a:xfrm>
                      <a:off x="0" y="0"/>
                      <a:ext cx="2147570" cy="3277870"/>
                    </a:xfrm>
                    <a:prstGeom prst="rect">
                      <a:avLst/>
                    </a:prstGeom>
                  </pic:spPr>
                </pic:pic>
              </a:graphicData>
            </a:graphic>
          </wp:anchor>
        </w:drawing>
      </w:r>
      <w:r>
        <w:rPr/>
        <w:drawing>
          <wp:inline distT="0" distB="0" distL="0" distR="0">
            <wp:extent cx="3275965" cy="3300730"/>
            <wp:effectExtent l="0" t="0" r="0" b="0"/>
            <wp:docPr id="5"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g" descr=""/>
                    <pic:cNvPicPr>
                      <a:picLocks noChangeAspect="1" noChangeArrowheads="1"/>
                    </pic:cNvPicPr>
                  </pic:nvPicPr>
                  <pic:blipFill>
                    <a:blip r:embed="rId7"/>
                    <a:srcRect l="0" t="24465" r="0" b="0"/>
                    <a:stretch>
                      <a:fillRect/>
                    </a:stretch>
                  </pic:blipFill>
                  <pic:spPr bwMode="auto">
                    <a:xfrm>
                      <a:off x="0" y="0"/>
                      <a:ext cx="3275965" cy="3300730"/>
                    </a:xfrm>
                    <a:prstGeom prst="rect">
                      <a:avLst/>
                    </a:prstGeom>
                  </pic:spPr>
                </pic:pic>
              </a:graphicData>
            </a:graphic>
          </wp:inline>
        </w:drawing>
      </w:r>
      <w:r>
        <w:rPr>
          <w:sz w:val="24"/>
          <w:szCs w:val="24"/>
        </w:rPr>
        <w:br/>
      </w:r>
    </w:p>
    <w:p>
      <w:pPr>
        <w:pStyle w:val="Normal1"/>
        <w:numPr>
          <w:ilvl w:val="0"/>
          <w:numId w:val="1"/>
        </w:numPr>
        <w:ind w:left="720" w:hanging="360"/>
        <w:rPr>
          <w:sz w:val="24"/>
          <w:szCs w:val="24"/>
          <w:u w:val="none"/>
        </w:rPr>
      </w:pPr>
      <w:r>
        <w:rPr>
          <w:sz w:val="24"/>
          <w:szCs w:val="24"/>
        </w:rPr>
        <w:t xml:space="preserve">Allow the setup to sit for 30 minutes, during which time the droplets should darken as phenol oxidase in the insect's hemolymph catalyzes the conversion of L-DOPA into melanin. Once thirty minutes have elapsed, remove the filter paper from the petri dish using forceps, and place into a clean petri dish lined with a paper towel to dry. </w:t>
      </w:r>
    </w:p>
    <w:p>
      <w:pPr>
        <w:pStyle w:val="Normal1"/>
        <w:numPr>
          <w:ilvl w:val="0"/>
          <w:numId w:val="1"/>
        </w:numPr>
        <w:ind w:left="720" w:hanging="360"/>
        <w:rPr>
          <w:sz w:val="24"/>
          <w:szCs w:val="24"/>
          <w:u w:val="none"/>
        </w:rPr>
      </w:pPr>
      <w:r>
        <w:rPr>
          <w:sz w:val="24"/>
          <w:szCs w:val="24"/>
        </w:rPr>
        <w:t>Give the dried sample to your instructor. After the lab, they will scan the dried samples, and calculate the absorbance values of each sample using the photo software ImageJ and fill in the absorbance values of each on the data sheet.</w:t>
      </w:r>
    </w:p>
    <w:p>
      <w:pPr>
        <w:pStyle w:val="Normal1"/>
        <w:rPr>
          <w:sz w:val="24"/>
          <w:szCs w:val="24"/>
        </w:rPr>
      </w:pPr>
      <w:r>
        <w:rPr>
          <w:b/>
          <w:sz w:val="24"/>
          <w:szCs w:val="24"/>
          <w:u w:val="single"/>
        </w:rPr>
        <w:t>Part 3: Dissection + Calculation of Nematode Burden</w:t>
      </w:r>
    </w:p>
    <w:p>
      <w:pPr>
        <w:pStyle w:val="Normal1"/>
        <w:numPr>
          <w:ilvl w:val="0"/>
          <w:numId w:val="1"/>
        </w:numPr>
        <w:ind w:left="720" w:hanging="360"/>
        <w:rPr>
          <w:sz w:val="24"/>
          <w:szCs w:val="24"/>
          <w:u w:val="none"/>
        </w:rPr>
      </w:pPr>
      <w:r>
        <w:rPr>
          <w:sz w:val="24"/>
          <w:szCs w:val="24"/>
        </w:rPr>
        <w:t xml:space="preserve">Once you’ve started the melanization assay, you can get started with your dissection. Place your beetle into a jar of 70% ethanol, and allow it to remain for at least 3 minutes. Once this time has elapsed, remove to a clean petri dish using forceps. </w:t>
      </w:r>
    </w:p>
    <w:p>
      <w:pPr>
        <w:pStyle w:val="Normal1"/>
        <w:numPr>
          <w:ilvl w:val="0"/>
          <w:numId w:val="1"/>
        </w:numPr>
        <w:ind w:left="720" w:hanging="360"/>
        <w:rPr>
          <w:sz w:val="24"/>
          <w:szCs w:val="24"/>
          <w:u w:val="none"/>
        </w:rPr>
      </w:pPr>
      <w:r>
        <w:rPr>
          <w:sz w:val="24"/>
          <w:szCs w:val="24"/>
        </w:rPr>
        <w:t>With the dorsal-side of the beetle facing upwards, remove the elytra of the beetle using forceps and insect pins.</w:t>
      </w:r>
    </w:p>
    <w:p>
      <w:pPr>
        <w:pStyle w:val="Normal1"/>
        <w:numPr>
          <w:ilvl w:val="0"/>
          <w:numId w:val="1"/>
        </w:numPr>
        <w:ind w:left="720" w:hanging="360"/>
        <w:rPr>
          <w:sz w:val="24"/>
          <w:szCs w:val="24"/>
          <w:u w:val="none"/>
        </w:rPr>
      </w:pPr>
      <w:r>
        <w:rPr>
          <w:sz w:val="24"/>
          <w:szCs w:val="24"/>
        </w:rPr>
        <w:t xml:space="preserve">Once the elytra is removed, flip the beetle to the ventral side, and remove the ventral abdominal sterna to expose the hemocoel. Parasitic nematodes of the species </w:t>
      </w:r>
      <w:r>
        <w:rPr>
          <w:i/>
          <w:sz w:val="24"/>
          <w:szCs w:val="24"/>
        </w:rPr>
        <w:t>Chondronema passali</w:t>
      </w:r>
      <w:r>
        <w:rPr>
          <w:sz w:val="24"/>
          <w:szCs w:val="24"/>
        </w:rPr>
        <w:t xml:space="preserve"> live inside the hemocoel. Use your insect pin and forceps to search for these nematodes, which may often move. Use 70% ethanol to rinse the insides of the beetle as needed. You may find it helpful to remove individual worms from the organism and place them into the petri dish, as they become difficult to count when tangled together. Make sure to look carefully around the hemocoel so that you’re not missing any nematodes.</w:t>
      </w:r>
    </w:p>
    <w:p>
      <w:pPr>
        <w:pStyle w:val="Normal1"/>
        <w:numPr>
          <w:ilvl w:val="0"/>
          <w:numId w:val="1"/>
        </w:numPr>
        <w:ind w:left="720" w:hanging="360"/>
        <w:rPr>
          <w:sz w:val="24"/>
          <w:szCs w:val="24"/>
          <w:u w:val="none"/>
        </w:rPr>
      </w:pPr>
      <w:r>
        <w:rPr>
          <w:sz w:val="24"/>
          <w:szCs w:val="24"/>
        </w:rPr>
        <w:t>Use the following scale to rank the infection intensity of your specimens.</w:t>
      </w:r>
    </w:p>
    <w:p>
      <w:pPr>
        <w:pStyle w:val="Normal1"/>
        <w:ind w:left="720" w:hanging="0"/>
        <w:rPr>
          <w:sz w:val="24"/>
          <w:szCs w:val="24"/>
        </w:rPr>
      </w:pPr>
      <w:r>
        <w:rPr>
          <w:b/>
          <w:sz w:val="24"/>
          <w:szCs w:val="24"/>
        </w:rPr>
        <w:br/>
        <w:t>Q3: Write the nematode infection intensity of your specimens below:</w:t>
      </w:r>
    </w:p>
    <w:p>
      <w:pPr>
        <w:pStyle w:val="Normal1"/>
        <w:ind w:left="0" w:hanging="0"/>
        <w:rPr>
          <w:sz w:val="24"/>
          <w:szCs w:val="24"/>
        </w:rPr>
      </w:pPr>
      <w:r>
        <w:rPr>
          <w:sz w:val="24"/>
          <w:szCs w:val="24"/>
        </w:rPr>
      </w:r>
    </w:p>
    <w:p>
      <w:pPr>
        <w:pStyle w:val="Normal1"/>
        <w:ind w:left="0" w:hanging="0"/>
        <w:rPr>
          <w:sz w:val="24"/>
          <w:szCs w:val="24"/>
        </w:rPr>
      </w:pPr>
      <w:r>
        <w:rPr>
          <w:sz w:val="24"/>
          <w:szCs w:val="24"/>
        </w:rPr>
        <w:br/>
      </w:r>
    </w:p>
    <w:tbl>
      <w:tblPr>
        <w:tblStyle w:val="Table1"/>
        <w:tblW w:w="3015" w:type="dxa"/>
        <w:jc w:val="left"/>
        <w:tblInd w:w="0" w:type="dxa"/>
        <w:tblLayout w:type="fixed"/>
        <w:tblCellMar>
          <w:top w:w="40" w:type="dxa"/>
          <w:left w:w="40" w:type="dxa"/>
          <w:bottom w:w="40" w:type="dxa"/>
          <w:right w:w="40" w:type="dxa"/>
        </w:tblCellMar>
        <w:tblLook w:val="0600"/>
      </w:tblPr>
      <w:tblGrid>
        <w:gridCol w:w="1499"/>
        <w:gridCol w:w="1515"/>
      </w:tblGrid>
      <w:tr>
        <w:trPr>
          <w:trHeight w:val="315" w:hRule="atLeast"/>
        </w:trPr>
        <w:tc>
          <w:tcPr>
            <w:tcW w:w="1499" w:type="dxa"/>
            <w:tcBorders>
              <w:top w:val="single" w:sz="6" w:space="0" w:color="000000"/>
              <w:left w:val="single" w:sz="6" w:space="0" w:color="000000"/>
              <w:bottom w:val="single" w:sz="6" w:space="0" w:color="000000"/>
              <w:right w:val="single" w:sz="6" w:space="0" w:color="000000"/>
            </w:tcBorders>
            <w:shd w:fill="F46524" w:val="clear"/>
            <w:vAlign w:val="bottom"/>
          </w:tcPr>
          <w:p>
            <w:pPr>
              <w:pStyle w:val="Normal1"/>
              <w:widowControl w:val="false"/>
              <w:rPr>
                <w:sz w:val="20"/>
                <w:szCs w:val="20"/>
              </w:rPr>
            </w:pPr>
            <w:r>
              <w:rPr>
                <w:sz w:val="20"/>
                <w:szCs w:val="20"/>
              </w:rPr>
              <w:t># of Nematodes</w:t>
            </w:r>
          </w:p>
        </w:tc>
        <w:tc>
          <w:tcPr>
            <w:tcW w:w="1515" w:type="dxa"/>
            <w:tcBorders>
              <w:top w:val="single" w:sz="6" w:space="0" w:color="000000"/>
              <w:left w:val="single" w:sz="6" w:space="0" w:color="000000"/>
              <w:bottom w:val="single" w:sz="6" w:space="0" w:color="000000"/>
              <w:right w:val="single" w:sz="6" w:space="0" w:color="000000"/>
            </w:tcBorders>
            <w:shd w:fill="F46524" w:val="clear"/>
            <w:vAlign w:val="bottom"/>
          </w:tcPr>
          <w:p>
            <w:pPr>
              <w:pStyle w:val="Normal1"/>
              <w:widowControl w:val="false"/>
              <w:rPr>
                <w:sz w:val="20"/>
                <w:szCs w:val="20"/>
              </w:rPr>
            </w:pPr>
            <w:r>
              <w:rPr>
                <w:sz w:val="20"/>
                <w:szCs w:val="20"/>
              </w:rPr>
              <w:t>Intensity Value</w:t>
            </w:r>
          </w:p>
        </w:tc>
      </w:tr>
      <w:tr>
        <w:trPr>
          <w:trHeight w:val="315" w:hRule="atLeast"/>
        </w:trPr>
        <w:tc>
          <w:tcPr>
            <w:tcW w:w="1499" w:type="dxa"/>
            <w:tcBorders>
              <w:top w:val="single" w:sz="6" w:space="0" w:color="000000"/>
              <w:left w:val="single" w:sz="6" w:space="0" w:color="000000"/>
              <w:bottom w:val="single" w:sz="6" w:space="0" w:color="000000"/>
              <w:right w:val="single" w:sz="6" w:space="0" w:color="000000"/>
            </w:tcBorders>
            <w:shd w:fill="FFFFFF" w:val="clear"/>
            <w:vAlign w:val="bottom"/>
          </w:tcPr>
          <w:p>
            <w:pPr>
              <w:pStyle w:val="Normal1"/>
              <w:widowControl w:val="false"/>
              <w:rPr>
                <w:sz w:val="20"/>
                <w:szCs w:val="20"/>
              </w:rPr>
            </w:pPr>
            <w:r>
              <w:rPr>
                <w:sz w:val="20"/>
                <w:szCs w:val="20"/>
              </w:rPr>
              <w:t>0 parasites</w:t>
            </w:r>
          </w:p>
        </w:tc>
        <w:tc>
          <w:tcPr>
            <w:tcW w:w="1515" w:type="dxa"/>
            <w:tcBorders>
              <w:top w:val="single" w:sz="6" w:space="0" w:color="000000"/>
              <w:left w:val="single" w:sz="6" w:space="0" w:color="000000"/>
              <w:bottom w:val="single" w:sz="6" w:space="0" w:color="000000"/>
              <w:right w:val="single" w:sz="6" w:space="0" w:color="000000"/>
            </w:tcBorders>
            <w:shd w:fill="FFFFFF" w:val="clear"/>
            <w:vAlign w:val="bottom"/>
          </w:tcPr>
          <w:p>
            <w:pPr>
              <w:pStyle w:val="Normal1"/>
              <w:widowControl w:val="false"/>
              <w:jc w:val="right"/>
              <w:rPr>
                <w:sz w:val="20"/>
                <w:szCs w:val="20"/>
              </w:rPr>
            </w:pPr>
            <w:r>
              <w:rPr>
                <w:sz w:val="20"/>
                <w:szCs w:val="20"/>
              </w:rPr>
              <w:t>0</w:t>
            </w:r>
          </w:p>
        </w:tc>
      </w:tr>
      <w:tr>
        <w:trPr>
          <w:trHeight w:val="315" w:hRule="atLeast"/>
        </w:trPr>
        <w:tc>
          <w:tcPr>
            <w:tcW w:w="1499" w:type="dxa"/>
            <w:tcBorders>
              <w:top w:val="single" w:sz="6" w:space="0" w:color="000000"/>
              <w:left w:val="single" w:sz="6" w:space="0" w:color="000000"/>
              <w:bottom w:val="single" w:sz="6" w:space="0" w:color="000000"/>
              <w:right w:val="single" w:sz="6" w:space="0" w:color="000000"/>
            </w:tcBorders>
            <w:shd w:fill="FFE6DD" w:val="clear"/>
            <w:vAlign w:val="bottom"/>
          </w:tcPr>
          <w:p>
            <w:pPr>
              <w:pStyle w:val="Normal1"/>
              <w:widowControl w:val="false"/>
              <w:rPr>
                <w:sz w:val="20"/>
                <w:szCs w:val="20"/>
              </w:rPr>
            </w:pPr>
            <w:r>
              <w:rPr>
                <w:sz w:val="20"/>
                <w:szCs w:val="20"/>
              </w:rPr>
              <w:t>1-5 parasites</w:t>
            </w:r>
          </w:p>
        </w:tc>
        <w:tc>
          <w:tcPr>
            <w:tcW w:w="1515" w:type="dxa"/>
            <w:tcBorders>
              <w:top w:val="single" w:sz="6" w:space="0" w:color="000000"/>
              <w:left w:val="single" w:sz="6" w:space="0" w:color="000000"/>
              <w:bottom w:val="single" w:sz="6" w:space="0" w:color="000000"/>
              <w:right w:val="single" w:sz="6" w:space="0" w:color="000000"/>
            </w:tcBorders>
            <w:shd w:fill="FFE6DD" w:val="clear"/>
            <w:vAlign w:val="bottom"/>
          </w:tcPr>
          <w:p>
            <w:pPr>
              <w:pStyle w:val="Normal1"/>
              <w:widowControl w:val="false"/>
              <w:jc w:val="right"/>
              <w:rPr>
                <w:sz w:val="20"/>
                <w:szCs w:val="20"/>
              </w:rPr>
            </w:pPr>
            <w:r>
              <w:rPr>
                <w:sz w:val="20"/>
                <w:szCs w:val="20"/>
              </w:rPr>
              <w:t>1</w:t>
            </w:r>
          </w:p>
        </w:tc>
      </w:tr>
      <w:tr>
        <w:trPr>
          <w:trHeight w:val="315" w:hRule="atLeast"/>
        </w:trPr>
        <w:tc>
          <w:tcPr>
            <w:tcW w:w="1499" w:type="dxa"/>
            <w:tcBorders>
              <w:top w:val="single" w:sz="6" w:space="0" w:color="000000"/>
              <w:left w:val="single" w:sz="6" w:space="0" w:color="000000"/>
              <w:bottom w:val="single" w:sz="6" w:space="0" w:color="000000"/>
              <w:right w:val="single" w:sz="6" w:space="0" w:color="000000"/>
            </w:tcBorders>
            <w:shd w:fill="FFFFFF" w:val="clear"/>
            <w:vAlign w:val="bottom"/>
          </w:tcPr>
          <w:p>
            <w:pPr>
              <w:pStyle w:val="Normal1"/>
              <w:widowControl w:val="false"/>
              <w:rPr>
                <w:sz w:val="20"/>
                <w:szCs w:val="20"/>
              </w:rPr>
            </w:pPr>
            <w:r>
              <w:rPr>
                <w:sz w:val="20"/>
                <w:szCs w:val="20"/>
              </w:rPr>
              <w:t>6-10 parasites</w:t>
            </w:r>
          </w:p>
        </w:tc>
        <w:tc>
          <w:tcPr>
            <w:tcW w:w="1515" w:type="dxa"/>
            <w:tcBorders>
              <w:top w:val="single" w:sz="6" w:space="0" w:color="000000"/>
              <w:left w:val="single" w:sz="6" w:space="0" w:color="000000"/>
              <w:bottom w:val="single" w:sz="6" w:space="0" w:color="000000"/>
              <w:right w:val="single" w:sz="6" w:space="0" w:color="000000"/>
            </w:tcBorders>
            <w:shd w:fill="FFFFFF" w:val="clear"/>
            <w:vAlign w:val="bottom"/>
          </w:tcPr>
          <w:p>
            <w:pPr>
              <w:pStyle w:val="Normal1"/>
              <w:widowControl w:val="false"/>
              <w:jc w:val="right"/>
              <w:rPr>
                <w:sz w:val="20"/>
                <w:szCs w:val="20"/>
              </w:rPr>
            </w:pPr>
            <w:r>
              <w:rPr>
                <w:sz w:val="20"/>
                <w:szCs w:val="20"/>
              </w:rPr>
              <w:t>2</w:t>
            </w:r>
          </w:p>
        </w:tc>
      </w:tr>
      <w:tr>
        <w:trPr>
          <w:trHeight w:val="555" w:hRule="atLeast"/>
        </w:trPr>
        <w:tc>
          <w:tcPr>
            <w:tcW w:w="1499" w:type="dxa"/>
            <w:tcBorders>
              <w:top w:val="single" w:sz="6" w:space="0" w:color="000000"/>
              <w:left w:val="single" w:sz="6" w:space="0" w:color="000000"/>
              <w:bottom w:val="single" w:sz="6" w:space="0" w:color="000000"/>
              <w:right w:val="single" w:sz="6" w:space="0" w:color="000000"/>
            </w:tcBorders>
            <w:shd w:fill="FFE6DD" w:val="clear"/>
            <w:vAlign w:val="bottom"/>
          </w:tcPr>
          <w:p>
            <w:pPr>
              <w:pStyle w:val="Normal1"/>
              <w:widowControl w:val="false"/>
              <w:rPr>
                <w:sz w:val="20"/>
                <w:szCs w:val="20"/>
              </w:rPr>
            </w:pPr>
            <w:r>
              <w:rPr>
                <w:sz w:val="20"/>
                <w:szCs w:val="20"/>
              </w:rPr>
              <w:t>11-100 parasites</w:t>
            </w:r>
          </w:p>
        </w:tc>
        <w:tc>
          <w:tcPr>
            <w:tcW w:w="1515" w:type="dxa"/>
            <w:tcBorders>
              <w:top w:val="single" w:sz="6" w:space="0" w:color="000000"/>
              <w:left w:val="single" w:sz="6" w:space="0" w:color="000000"/>
              <w:bottom w:val="single" w:sz="6" w:space="0" w:color="000000"/>
              <w:right w:val="single" w:sz="6" w:space="0" w:color="000000"/>
            </w:tcBorders>
            <w:shd w:fill="FFE6DD" w:val="clear"/>
            <w:vAlign w:val="bottom"/>
          </w:tcPr>
          <w:p>
            <w:pPr>
              <w:pStyle w:val="Normal1"/>
              <w:widowControl w:val="false"/>
              <w:jc w:val="right"/>
              <w:rPr>
                <w:sz w:val="20"/>
                <w:szCs w:val="20"/>
              </w:rPr>
            </w:pPr>
            <w:r>
              <w:rPr>
                <w:sz w:val="20"/>
                <w:szCs w:val="20"/>
              </w:rPr>
              <w:t>3</w:t>
            </w:r>
          </w:p>
        </w:tc>
      </w:tr>
      <w:tr>
        <w:trPr>
          <w:trHeight w:val="315" w:hRule="atLeast"/>
        </w:trPr>
        <w:tc>
          <w:tcPr>
            <w:tcW w:w="1499" w:type="dxa"/>
            <w:tcBorders>
              <w:top w:val="single" w:sz="6" w:space="0" w:color="000000"/>
              <w:left w:val="single" w:sz="6" w:space="0" w:color="000000"/>
              <w:bottom w:val="single" w:sz="6" w:space="0" w:color="000000"/>
              <w:right w:val="single" w:sz="6" w:space="0" w:color="000000"/>
            </w:tcBorders>
            <w:shd w:fill="FFFFFF" w:val="clear"/>
            <w:vAlign w:val="bottom"/>
          </w:tcPr>
          <w:p>
            <w:pPr>
              <w:pStyle w:val="Normal1"/>
              <w:widowControl w:val="false"/>
              <w:rPr>
                <w:sz w:val="20"/>
                <w:szCs w:val="20"/>
              </w:rPr>
            </w:pPr>
            <w:r>
              <w:rPr>
                <w:sz w:val="20"/>
                <w:szCs w:val="20"/>
              </w:rPr>
              <w:t>101+ parasites</w:t>
            </w:r>
          </w:p>
        </w:tc>
        <w:tc>
          <w:tcPr>
            <w:tcW w:w="1515" w:type="dxa"/>
            <w:tcBorders>
              <w:top w:val="single" w:sz="6" w:space="0" w:color="000000"/>
              <w:left w:val="single" w:sz="6" w:space="0" w:color="000000"/>
              <w:bottom w:val="single" w:sz="6" w:space="0" w:color="000000"/>
              <w:right w:val="single" w:sz="6" w:space="0" w:color="000000"/>
            </w:tcBorders>
            <w:shd w:fill="FFFFFF" w:val="clear"/>
            <w:vAlign w:val="bottom"/>
          </w:tcPr>
          <w:p>
            <w:pPr>
              <w:pStyle w:val="Normal1"/>
              <w:widowControl w:val="false"/>
              <w:jc w:val="right"/>
              <w:rPr>
                <w:sz w:val="20"/>
                <w:szCs w:val="20"/>
              </w:rPr>
            </w:pPr>
            <w:r>
              <w:rPr>
                <w:sz w:val="20"/>
                <w:szCs w:val="20"/>
              </w:rPr>
              <w:t>4</w:t>
            </w:r>
          </w:p>
        </w:tc>
      </w:tr>
    </w:tbl>
    <w:p>
      <w:pPr>
        <w:pStyle w:val="Normal1"/>
        <w:ind w:left="720" w:hanging="0"/>
        <w:rPr>
          <w:sz w:val="24"/>
          <w:szCs w:val="24"/>
        </w:rPr>
      </w:pPr>
      <w:r>
        <w:rPr>
          <w:sz w:val="24"/>
          <w:szCs w:val="24"/>
        </w:rPr>
      </w:r>
    </w:p>
    <w:p>
      <w:pPr>
        <w:pStyle w:val="Normal1"/>
        <w:numPr>
          <w:ilvl w:val="0"/>
          <w:numId w:val="1"/>
        </w:numPr>
        <w:ind w:left="720" w:hanging="360"/>
        <w:rPr>
          <w:sz w:val="24"/>
          <w:szCs w:val="24"/>
        </w:rPr>
      </w:pPr>
      <w:r>
        <w:rPr>
          <w:sz w:val="24"/>
          <w:szCs w:val="24"/>
        </w:rPr>
        <w:t>Finally, determine the sex of your specimen and notate it on the datasheet. Males can be identified by the presence of an aedeagus, which is used for transfer of sperm during reproduction. Your instructor will help you identify this structure.</w:t>
      </w:r>
    </w:p>
    <w:p>
      <w:pPr>
        <w:pStyle w:val="Normal1"/>
        <w:ind w:left="720" w:hanging="0"/>
        <w:rPr>
          <w:sz w:val="24"/>
          <w:szCs w:val="24"/>
        </w:rPr>
      </w:pPr>
      <w:r>
        <w:rPr>
          <w:sz w:val="24"/>
          <w:szCs w:val="24"/>
        </w:rPr>
        <w:br/>
      </w:r>
    </w:p>
    <w:p>
      <w:pPr>
        <w:pStyle w:val="Normal1"/>
        <w:ind w:left="0" w:hanging="0"/>
        <w:rPr>
          <w:b/>
          <w:b/>
          <w:sz w:val="24"/>
          <w:szCs w:val="24"/>
        </w:rPr>
      </w:pPr>
      <w:r>
        <w:rPr>
          <w:sz w:val="24"/>
          <w:szCs w:val="24"/>
        </w:rPr>
        <w:br/>
      </w:r>
    </w:p>
    <w:p>
      <w:pPr>
        <w:pStyle w:val="Normal1"/>
        <w:ind w:left="0" w:hanging="0"/>
        <w:rPr>
          <w:b/>
          <w:b/>
          <w:sz w:val="24"/>
          <w:szCs w:val="24"/>
        </w:rPr>
      </w:pPr>
      <w:r>
        <w:rPr>
          <w:b/>
          <w:sz w:val="24"/>
          <w:szCs w:val="24"/>
        </w:rPr>
        <w:t xml:space="preserve">Q4: Write two (or more) hypotheses below for the effect of 1) mite burden, and 2) nematode burden on measured strength of phenol oxidase activity. </w:t>
      </w:r>
    </w:p>
    <w:p>
      <w:pPr>
        <w:pStyle w:val="Normal1"/>
        <w:ind w:left="0" w:hanging="0"/>
        <w:rPr>
          <w:b/>
          <w:b/>
          <w:sz w:val="24"/>
          <w:szCs w:val="24"/>
        </w:rPr>
      </w:pPr>
      <w:r>
        <w:rPr>
          <w:sz w:val="24"/>
          <w:szCs w:val="24"/>
        </w:rPr>
        <w:br/>
        <w:br/>
        <w:br/>
      </w:r>
      <w:r>
        <w:rPr>
          <w:b/>
          <w:sz w:val="24"/>
          <w:szCs w:val="24"/>
        </w:rPr>
        <w:t>Q5: Following the lab, your instructor will send you the outputs of three glms, for each, answer the following: (HINT: look at the glm section of the powerpoint from last week for help!)</w:t>
      </w:r>
    </w:p>
    <w:p>
      <w:pPr>
        <w:pStyle w:val="Normal1"/>
        <w:numPr>
          <w:ilvl w:val="0"/>
          <w:numId w:val="2"/>
        </w:numPr>
        <w:ind w:left="720" w:hanging="360"/>
        <w:rPr>
          <w:sz w:val="24"/>
          <w:szCs w:val="24"/>
          <w:u w:val="none"/>
        </w:rPr>
      </w:pPr>
      <w:r>
        <w:rPr>
          <w:sz w:val="24"/>
          <w:szCs w:val="24"/>
        </w:rPr>
        <w:t>What is the predictor variable</w:t>
        <w:br/>
      </w:r>
    </w:p>
    <w:p>
      <w:pPr>
        <w:pStyle w:val="Normal1"/>
        <w:ind w:left="720" w:hanging="0"/>
        <w:rPr>
          <w:sz w:val="24"/>
          <w:szCs w:val="24"/>
        </w:rPr>
      </w:pPr>
      <w:r>
        <w:rPr>
          <w:sz w:val="24"/>
          <w:szCs w:val="24"/>
        </w:rPr>
      </w:r>
    </w:p>
    <w:p>
      <w:pPr>
        <w:pStyle w:val="Normal1"/>
        <w:ind w:left="720" w:hanging="0"/>
        <w:rPr>
          <w:sz w:val="24"/>
          <w:szCs w:val="24"/>
        </w:rPr>
      </w:pPr>
      <w:r>
        <w:rPr>
          <w:sz w:val="24"/>
          <w:szCs w:val="24"/>
        </w:rPr>
      </w:r>
    </w:p>
    <w:p>
      <w:pPr>
        <w:pStyle w:val="Normal1"/>
        <w:numPr>
          <w:ilvl w:val="0"/>
          <w:numId w:val="2"/>
        </w:numPr>
        <w:ind w:left="720" w:hanging="360"/>
        <w:rPr>
          <w:sz w:val="24"/>
          <w:szCs w:val="24"/>
          <w:u w:val="none"/>
        </w:rPr>
      </w:pPr>
      <w:r>
        <w:rPr>
          <w:sz w:val="24"/>
          <w:szCs w:val="24"/>
        </w:rPr>
        <w:t>What is the response variable</w:t>
        <w:br/>
      </w:r>
    </w:p>
    <w:p>
      <w:pPr>
        <w:pStyle w:val="Normal1"/>
        <w:rPr>
          <w:sz w:val="24"/>
          <w:szCs w:val="24"/>
        </w:rPr>
      </w:pPr>
      <w:r>
        <w:rPr>
          <w:sz w:val="24"/>
          <w:szCs w:val="24"/>
        </w:rPr>
      </w:r>
    </w:p>
    <w:p>
      <w:pPr>
        <w:pStyle w:val="Normal1"/>
        <w:rPr>
          <w:sz w:val="24"/>
          <w:szCs w:val="24"/>
        </w:rPr>
      </w:pPr>
      <w:r>
        <w:rPr>
          <w:sz w:val="24"/>
          <w:szCs w:val="24"/>
        </w:rPr>
      </w:r>
    </w:p>
    <w:p>
      <w:pPr>
        <w:pStyle w:val="Normal1"/>
        <w:numPr>
          <w:ilvl w:val="0"/>
          <w:numId w:val="2"/>
        </w:numPr>
        <w:ind w:left="720" w:hanging="360"/>
        <w:rPr>
          <w:sz w:val="24"/>
          <w:szCs w:val="24"/>
          <w:u w:val="none"/>
        </w:rPr>
      </w:pPr>
      <w:r>
        <w:rPr>
          <w:sz w:val="24"/>
          <w:szCs w:val="24"/>
        </w:rPr>
        <w:t xml:space="preserve">How do you interpret the results of that model </w:t>
      </w:r>
    </w:p>
    <w:p>
      <w:pPr>
        <w:pStyle w:val="Normal1"/>
        <w:ind w:left="720" w:hanging="0"/>
        <w:rPr>
          <w:sz w:val="24"/>
          <w:szCs w:val="24"/>
        </w:rPr>
      </w:pPr>
      <w:r>
        <w:rPr>
          <w:sz w:val="24"/>
          <w:szCs w:val="24"/>
        </w:rPr>
      </w:r>
    </w:p>
    <w:p>
      <w:pPr>
        <w:pStyle w:val="Normal1"/>
        <w:ind w:left="720" w:hanging="0"/>
        <w:rPr>
          <w:sz w:val="24"/>
          <w:szCs w:val="24"/>
        </w:rPr>
      </w:pPr>
      <w:r>
        <w:rPr>
          <w:sz w:val="24"/>
          <w:szCs w:val="24"/>
        </w:rPr>
      </w:r>
    </w:p>
    <w:p>
      <w:pPr>
        <w:pStyle w:val="Normal1"/>
        <w:ind w:left="720" w:hanging="0"/>
        <w:rPr>
          <w:sz w:val="24"/>
          <w:szCs w:val="24"/>
        </w:rPr>
      </w:pPr>
      <w:r>
        <w:rPr>
          <w:sz w:val="24"/>
          <w:szCs w:val="24"/>
        </w:rPr>
      </w:r>
    </w:p>
    <w:p>
      <w:pPr>
        <w:pStyle w:val="Normal1"/>
        <w:ind w:left="720" w:hanging="0"/>
        <w:rPr>
          <w:sz w:val="24"/>
          <w:szCs w:val="24"/>
        </w:rPr>
      </w:pPr>
      <w:r>
        <w:rPr>
          <w:sz w:val="24"/>
          <w:szCs w:val="24"/>
        </w:rPr>
      </w:r>
    </w:p>
    <w:p>
      <w:pPr>
        <w:pStyle w:val="Normal1"/>
        <w:ind w:left="720" w:hanging="0"/>
        <w:rPr>
          <w:sz w:val="24"/>
          <w:szCs w:val="24"/>
        </w:rPr>
      </w:pPr>
      <w:r>
        <w:rPr>
          <w:sz w:val="24"/>
          <w:szCs w:val="24"/>
        </w:rPr>
      </w:r>
    </w:p>
    <w:p>
      <w:pPr>
        <w:pStyle w:val="Normal1"/>
        <w:ind w:left="720" w:hanging="0"/>
        <w:rPr>
          <w:sz w:val="24"/>
          <w:szCs w:val="24"/>
        </w:rPr>
      </w:pPr>
      <w:r>
        <w:rPr>
          <w:sz w:val="24"/>
          <w:szCs w:val="24"/>
        </w:rPr>
      </w:r>
    </w:p>
    <w:p>
      <w:pPr>
        <w:pStyle w:val="Normal1"/>
        <w:ind w:left="720" w:hanging="0"/>
        <w:rPr>
          <w:sz w:val="24"/>
          <w:szCs w:val="24"/>
        </w:rPr>
      </w:pPr>
      <w:r>
        <w:rPr>
          <w:sz w:val="24"/>
          <w:szCs w:val="24"/>
        </w:rPr>
      </w:r>
    </w:p>
    <w:p>
      <w:pPr>
        <w:pStyle w:val="Normal1"/>
        <w:ind w:left="0" w:hanging="0"/>
        <w:rPr>
          <w:b/>
          <w:b/>
          <w:sz w:val="24"/>
          <w:szCs w:val="24"/>
        </w:rPr>
      </w:pPr>
      <w:r>
        <w:rPr>
          <w:b/>
          <w:sz w:val="24"/>
          <w:szCs w:val="24"/>
        </w:rPr>
        <w:t>Q6. Which model of the three best fits our data? Why?</w:t>
      </w:r>
    </w:p>
    <w:p>
      <w:pPr>
        <w:pStyle w:val="Normal1"/>
        <w:ind w:left="0" w:hanging="0"/>
        <w:rPr>
          <w:sz w:val="24"/>
          <w:szCs w:val="24"/>
        </w:rPr>
      </w:pPr>
      <w:r>
        <w:rPr>
          <w:sz w:val="24"/>
          <w:szCs w:val="24"/>
        </w:rPr>
      </w:r>
    </w:p>
    <w:p>
      <w:pPr>
        <w:pStyle w:val="Normal1"/>
        <w:ind w:left="720" w:hanging="0"/>
        <w:rPr>
          <w:sz w:val="24"/>
          <w:szCs w:val="24"/>
        </w:rPr>
      </w:pPr>
      <w:r>
        <w:rPr>
          <w:sz w:val="24"/>
          <w:szCs w:val="24"/>
        </w:rPr>
      </w:r>
    </w:p>
    <w:p>
      <w:pPr>
        <w:pStyle w:val="Normal1"/>
        <w:ind w:left="720" w:hanging="0"/>
        <w:rPr>
          <w:sz w:val="24"/>
          <w:szCs w:val="24"/>
        </w:rPr>
      </w:pPr>
      <w:r>
        <w:rPr>
          <w:sz w:val="24"/>
          <w:szCs w:val="24"/>
        </w:rPr>
      </w:r>
    </w:p>
    <w:p>
      <w:pPr>
        <w:pStyle w:val="Normal1"/>
        <w:ind w:left="0" w:hanging="0"/>
        <w:rPr>
          <w:sz w:val="24"/>
          <w:szCs w:val="24"/>
        </w:rPr>
      </w:pPr>
      <w:r>
        <w:rPr>
          <w:sz w:val="24"/>
          <w:szCs w:val="24"/>
        </w:rPr>
      </w:r>
    </w:p>
    <w:p>
      <w:pPr>
        <w:pStyle w:val="Normal1"/>
        <w:ind w:left="0" w:hanging="0"/>
        <w:rPr>
          <w:b/>
          <w:b/>
          <w:sz w:val="24"/>
          <w:szCs w:val="24"/>
        </w:rPr>
      </w:pPr>
      <w:r>
        <w:rPr>
          <w:b/>
          <w:sz w:val="24"/>
          <w:szCs w:val="24"/>
        </w:rPr>
      </w:r>
      <w:r>
        <w:br w:type="page"/>
      </w:r>
    </w:p>
    <w:p>
      <w:pPr>
        <w:pStyle w:val="Normal1"/>
        <w:ind w:left="0" w:hanging="0"/>
        <w:rPr>
          <w:b/>
          <w:b/>
          <w:sz w:val="24"/>
          <w:szCs w:val="24"/>
        </w:rPr>
      </w:pPr>
      <w:r>
        <w:rPr>
          <w:b/>
          <w:sz w:val="24"/>
          <w:szCs w:val="24"/>
        </w:rPr>
        <w:t>Q7: Given the outputs of our data, is your hypothesis supported or not?</w:t>
      </w:r>
    </w:p>
    <w:p>
      <w:pPr>
        <w:pStyle w:val="Normal1"/>
        <w:ind w:left="0" w:hanging="0"/>
        <w:rPr>
          <w:sz w:val="24"/>
          <w:szCs w:val="24"/>
        </w:rPr>
      </w:pPr>
      <w:r>
        <w:rPr>
          <w:sz w:val="24"/>
          <w:szCs w:val="24"/>
        </w:rPr>
      </w:r>
    </w:p>
    <w:p>
      <w:pPr>
        <w:pStyle w:val="Normal1"/>
        <w:ind w:left="0" w:hanging="0"/>
        <w:rPr>
          <w:sz w:val="24"/>
          <w:szCs w:val="24"/>
        </w:rPr>
      </w:pPr>
      <w:r>
        <w:rPr>
          <w:sz w:val="24"/>
          <w:szCs w:val="24"/>
        </w:rPr>
        <w:br/>
        <w:br/>
        <w:br/>
      </w:r>
    </w:p>
    <w:p>
      <w:pPr>
        <w:pStyle w:val="Normal1"/>
        <w:ind w:left="0" w:hanging="0"/>
        <w:rPr>
          <w:sz w:val="24"/>
          <w:szCs w:val="24"/>
        </w:rPr>
      </w:pPr>
      <w:r>
        <w:rPr>
          <w:sz w:val="24"/>
          <w:szCs w:val="24"/>
        </w:rPr>
      </w:r>
    </w:p>
    <w:p>
      <w:pPr>
        <w:pStyle w:val="Normal1"/>
        <w:ind w:left="0" w:hanging="0"/>
        <w:rPr>
          <w:b/>
          <w:b/>
          <w:sz w:val="24"/>
          <w:szCs w:val="24"/>
        </w:rPr>
      </w:pPr>
      <w:r>
        <w:rPr>
          <w:b/>
          <w:sz w:val="24"/>
          <w:szCs w:val="24"/>
        </w:rPr>
        <w:b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r>
    </w:p>
    <w:p>
      <w:pPr>
        <w:pStyle w:val="Normal1"/>
        <w:ind w:left="0" w:hanging="0"/>
        <w:rPr>
          <w:b/>
          <w:b/>
          <w:sz w:val="24"/>
          <w:szCs w:val="24"/>
        </w:rPr>
      </w:pPr>
      <w:r>
        <w:rPr>
          <w:b/>
          <w:sz w:val="24"/>
          <w:szCs w:val="24"/>
        </w:rPr>
        <w:t>Citations:</w:t>
      </w:r>
    </w:p>
    <w:p>
      <w:pPr>
        <w:pStyle w:val="Normal1"/>
        <w:rPr>
          <w:sz w:val="24"/>
          <w:szCs w:val="24"/>
        </w:rPr>
      </w:pPr>
      <w:r>
        <w:rPr>
          <w:sz w:val="24"/>
          <w:szCs w:val="24"/>
        </w:rPr>
        <w:t xml:space="preserve">Bibbs, Christopher S., Hodges, Amanda C., Baldwin, Rebecca W. (2010, December). </w:t>
      </w:r>
      <w:r>
        <w:rPr>
          <w:i/>
          <w:sz w:val="24"/>
          <w:szCs w:val="24"/>
        </w:rPr>
        <w:t>Horned Passalus</w:t>
      </w:r>
      <w:r>
        <w:rPr>
          <w:sz w:val="24"/>
          <w:szCs w:val="24"/>
        </w:rPr>
        <w:t xml:space="preserve">. Featured Creatures: Department of Entomology and Nematology. </w:t>
      </w:r>
      <w:hyperlink r:id="rId8">
        <w:r>
          <w:rPr>
            <w:color w:val="1155CC"/>
            <w:sz w:val="24"/>
            <w:szCs w:val="24"/>
            <w:u w:val="single"/>
          </w:rPr>
          <w:t>https://entnemdept.ufl.edu/creatures/misc/beetles/horned_passalus.htm</w:t>
        </w:r>
      </w:hyperlink>
    </w:p>
    <w:p>
      <w:pPr>
        <w:pStyle w:val="Normal1"/>
        <w:ind w:left="0" w:hanging="0"/>
        <w:rPr>
          <w:sz w:val="24"/>
          <w:szCs w:val="24"/>
        </w:rPr>
      </w:pPr>
      <w:r>
        <w:rPr>
          <w:sz w:val="24"/>
          <w:szCs w:val="24"/>
        </w:rPr>
      </w:r>
    </w:p>
    <w:p>
      <w:pPr>
        <w:pStyle w:val="Normal1"/>
        <w:rPr>
          <w:sz w:val="24"/>
          <w:szCs w:val="24"/>
        </w:rPr>
      </w:pPr>
      <w:r>
        <w:rPr>
          <w:sz w:val="24"/>
          <w:szCs w:val="24"/>
        </w:rPr>
        <w:t xml:space="preserve">Calderon, L., &amp; Davis, A. K. (2016). Observations of Steinernema nematode and Tachinid fly parasites in horned passalus beetles, Odontotaenius disjunctus, from Georgia, USA. </w:t>
      </w:r>
      <w:r>
        <w:rPr>
          <w:i/>
          <w:sz w:val="24"/>
          <w:szCs w:val="24"/>
        </w:rPr>
        <w:t>Comparative Parasitology</w:t>
      </w:r>
      <w:r>
        <w:rPr>
          <w:sz w:val="24"/>
          <w:szCs w:val="24"/>
        </w:rPr>
        <w:t xml:space="preserve">, </w:t>
      </w:r>
      <w:r>
        <w:rPr>
          <w:i/>
          <w:sz w:val="24"/>
          <w:szCs w:val="24"/>
        </w:rPr>
        <w:t>83</w:t>
      </w:r>
      <w:r>
        <w:rPr>
          <w:sz w:val="24"/>
          <w:szCs w:val="24"/>
        </w:rPr>
        <w:t>(2), 265-268.</w:t>
      </w:r>
    </w:p>
    <w:p>
      <w:pPr>
        <w:pStyle w:val="Normal1"/>
        <w:rPr>
          <w:sz w:val="24"/>
          <w:szCs w:val="24"/>
        </w:rPr>
      </w:pPr>
      <w:r>
        <w:rPr>
          <w:sz w:val="24"/>
          <w:szCs w:val="24"/>
        </w:rPr>
      </w:r>
    </w:p>
    <w:p>
      <w:pPr>
        <w:pStyle w:val="Normal1"/>
        <w:rPr>
          <w:sz w:val="24"/>
          <w:szCs w:val="24"/>
        </w:rPr>
      </w:pPr>
      <w:r>
        <w:rPr>
          <w:sz w:val="24"/>
          <w:szCs w:val="24"/>
        </w:rPr>
        <w:t xml:space="preserve">Davis, A. K., Ladd, R. R., Smith, F., &amp; Shattuck, A. (2023). Sex-specific effects of a parasite on stress-induced freezing behavior in a natural beetle-nematode system. </w:t>
      </w:r>
      <w:r>
        <w:rPr>
          <w:i/>
          <w:sz w:val="24"/>
          <w:szCs w:val="24"/>
        </w:rPr>
        <w:t>Plos one</w:t>
      </w:r>
      <w:r>
        <w:rPr>
          <w:sz w:val="24"/>
          <w:szCs w:val="24"/>
        </w:rPr>
        <w:t xml:space="preserve">, </w:t>
      </w:r>
      <w:r>
        <w:rPr>
          <w:i/>
          <w:sz w:val="24"/>
          <w:szCs w:val="24"/>
        </w:rPr>
        <w:t>18</w:t>
      </w:r>
      <w:r>
        <w:rPr>
          <w:sz w:val="24"/>
          <w:szCs w:val="24"/>
        </w:rPr>
        <w:t>(3), e0281149.</w:t>
      </w:r>
    </w:p>
    <w:p>
      <w:pPr>
        <w:pStyle w:val="Normal1"/>
        <w:rPr>
          <w:sz w:val="24"/>
          <w:szCs w:val="24"/>
        </w:rPr>
      </w:pPr>
      <w:r>
        <w:rPr>
          <w:sz w:val="24"/>
          <w:szCs w:val="24"/>
        </w:rPr>
      </w:r>
    </w:p>
    <w:p>
      <w:pPr>
        <w:pStyle w:val="Normal1"/>
        <w:rPr>
          <w:sz w:val="24"/>
          <w:szCs w:val="24"/>
        </w:rPr>
      </w:pPr>
      <w:r>
        <w:rPr>
          <w:sz w:val="24"/>
          <w:szCs w:val="24"/>
        </w:rPr>
        <w:t>González‐Santoyo, I., &amp; Córdoba‐Aguilar, A. (2012). Phenoloxidase: a key component of the insect immune system. Entomologia Experimentalis et Applicata, 142(1), 1-16.</w:t>
      </w:r>
    </w:p>
    <w:p>
      <w:pPr>
        <w:pStyle w:val="Normal1"/>
        <w:rPr>
          <w:sz w:val="24"/>
          <w:szCs w:val="24"/>
        </w:rPr>
      </w:pPr>
      <w:r>
        <w:rPr>
          <w:sz w:val="24"/>
          <w:szCs w:val="24"/>
        </w:rPr>
        <w:br/>
        <w:t xml:space="preserve">Nakhleh, J., El Moussawi, L., &amp; Osta, M. A. (2017). The melanization response in insect immunity. </w:t>
      </w:r>
      <w:r>
        <w:rPr>
          <w:i/>
          <w:sz w:val="24"/>
          <w:szCs w:val="24"/>
        </w:rPr>
        <w:t>Advances in insect physiology</w:t>
      </w:r>
      <w:r>
        <w:rPr>
          <w:sz w:val="24"/>
          <w:szCs w:val="24"/>
        </w:rPr>
        <w:t xml:space="preserve">, </w:t>
      </w:r>
      <w:r>
        <w:rPr>
          <w:i/>
          <w:sz w:val="24"/>
          <w:szCs w:val="24"/>
        </w:rPr>
        <w:t>52</w:t>
      </w:r>
      <w:r>
        <w:rPr>
          <w:sz w:val="24"/>
          <w:szCs w:val="24"/>
        </w:rPr>
        <w:t>, 83-109.</w:t>
      </w:r>
    </w:p>
    <w:p>
      <w:pPr>
        <w:pStyle w:val="Normal1"/>
        <w:rPr>
          <w:sz w:val="24"/>
          <w:szCs w:val="24"/>
        </w:rPr>
      </w:pPr>
      <w:r>
        <w:rPr>
          <w:sz w:val="24"/>
          <w:szCs w:val="24"/>
        </w:rPr>
      </w:r>
    </w:p>
    <w:p>
      <w:pPr>
        <w:pStyle w:val="Normal1"/>
        <w:rPr>
          <w:sz w:val="24"/>
          <w:szCs w:val="24"/>
        </w:rPr>
      </w:pPr>
      <w:r>
        <w:rPr>
          <w:sz w:val="24"/>
          <w:szCs w:val="24"/>
        </w:rPr>
        <w:t>Sorrentino, R. P., Small, C. N., &amp; Govind, S. (2002). Quantitative analysis of phenol oxidase activity in insect hemolymph. Biotechniques, 32(4), 815-823.</w:t>
      </w:r>
    </w:p>
    <w:p>
      <w:pPr>
        <w:pStyle w:val="Normal1"/>
        <w:rPr>
          <w:sz w:val="24"/>
          <w:szCs w:val="24"/>
        </w:rPr>
      </w:pPr>
      <w:r>
        <w:rPr>
          <w:sz w:val="24"/>
          <w:szCs w:val="24"/>
        </w:rPr>
      </w:r>
    </w:p>
    <w:p>
      <w:pPr>
        <w:pStyle w:val="Normal1"/>
        <w:ind w:left="0" w:hanging="0"/>
        <w:rPr>
          <w:sz w:val="24"/>
          <w:szCs w:val="24"/>
        </w:rPr>
      </w:pPr>
      <w:r>
        <w:rPr/>
      </w:r>
    </w:p>
    <w:sectPr>
      <w:type w:val="nextPage"/>
      <w:pgSz w:w="12240" w:h="15840"/>
      <w:pgMar w:left="1440" w:right="1440" w:gutter="0" w:header="0" w:top="360" w:footer="0" w:bottom="36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cs.google.com/spreadsheets/d/1ER1ef_kRh-LoONk0ulre4hJjswyKGd42hZBpUiOsv8w/edit?usp=sharing" TargetMode="Externa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hyperlink" Target="https://entnemdept.ufl.edu/creatures/misc/beetles/horned_passalus.htm" TargetMode="Externa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LibreOffice/7.3.7.2$Linux_X86_64 LibreOffice_project/30$Build-2</Application>
  <AppVersion>15.0000</AppVersion>
  <Pages>5</Pages>
  <Words>1093</Words>
  <Characters>5621</Characters>
  <CharactersWithSpaces>6693</CharactersWithSpaces>
  <Paragraphs>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2024-02-07T08:05:24Z</dcterms:modified>
  <cp:revision>1</cp:revision>
  <dc:subject/>
  <dc:title/>
</cp:coreProperties>
</file>